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6"/>
        <w:gridCol w:w="1453"/>
        <w:gridCol w:w="1753"/>
        <w:gridCol w:w="1476"/>
        <w:gridCol w:w="100"/>
        <w:gridCol w:w="1134"/>
        <w:gridCol w:w="1700"/>
      </w:tblGrid>
      <w:tr w:rsidR="008270A1" w14:paraId="40BEAF2D" w14:textId="77777777" w:rsidTr="008270A1"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C1847" w14:textId="6DD5EE44" w:rsidR="008270A1" w:rsidRDefault="00D120EF">
            <w:r w:rsidRPr="0081534C">
              <w:rPr>
                <w:noProof/>
              </w:rPr>
              <w:drawing>
                <wp:inline distT="0" distB="0" distL="0" distR="0" wp14:anchorId="432288EF" wp14:editId="1EEC17C3">
                  <wp:extent cx="2057400" cy="715924"/>
                  <wp:effectExtent l="0" t="0" r="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37" t="9417" r="53143" b="4912"/>
                          <a:stretch/>
                        </pic:blipFill>
                        <pic:spPr bwMode="auto">
                          <a:xfrm>
                            <a:off x="0" y="0"/>
                            <a:ext cx="2145734" cy="746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92E37" w14:textId="0532B655" w:rsidR="008270A1" w:rsidRDefault="008270A1">
            <w:r>
              <w:rPr>
                <w:noProof/>
              </w:rPr>
              <w:drawing>
                <wp:inline distT="0" distB="0" distL="0" distR="0" wp14:anchorId="62383B0D" wp14:editId="43FEE60A">
                  <wp:extent cx="1578610" cy="947653"/>
                  <wp:effectExtent l="0" t="0" r="2540" b="508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678" cy="95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0A1" w14:paraId="2A127808" w14:textId="77777777" w:rsidTr="008270A1">
        <w:tc>
          <w:tcPr>
            <w:tcW w:w="7371" w:type="dxa"/>
            <w:gridSpan w:val="6"/>
            <w:tcBorders>
              <w:top w:val="single" w:sz="4" w:space="0" w:color="auto"/>
            </w:tcBorders>
          </w:tcPr>
          <w:p w14:paraId="03241842" w14:textId="673B8F8A" w:rsidR="00066657" w:rsidRPr="00524EC3" w:rsidRDefault="00066657" w:rsidP="00066657">
            <w:pPr>
              <w:jc w:val="center"/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4E69D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en-US"/>
              </w:rPr>
              <w:t xml:space="preserve">How to survive </w:t>
            </w:r>
            <w:r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en-US"/>
              </w:rPr>
              <w:t>War and</w:t>
            </w:r>
            <w:r w:rsidRPr="004E69D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en-US"/>
              </w:rPr>
              <w:t xml:space="preserve"> </w:t>
            </w:r>
            <w:r w:rsidR="001706F3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en-US"/>
              </w:rPr>
              <w:t>post-</w:t>
            </w:r>
            <w:r w:rsidR="009F536F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en-US"/>
              </w:rPr>
              <w:t>COVID-19</w:t>
            </w:r>
            <w:r w:rsidRPr="004E69DB">
              <w:rPr>
                <w:rFonts w:ascii="Arial" w:hAnsi="Arial" w:cs="Arial"/>
                <w:b/>
                <w:bCs/>
                <w:color w:val="002060"/>
                <w:sz w:val="26"/>
                <w:szCs w:val="26"/>
                <w:lang w:val="en-US"/>
              </w:rPr>
              <w:t xml:space="preserve"> financial crisis using modern investment, banking and insurance products</w:t>
            </w:r>
          </w:p>
          <w:p w14:paraId="7881D3AE" w14:textId="36620618" w:rsidR="008270A1" w:rsidRPr="00EC7E9C" w:rsidRDefault="008270A1" w:rsidP="00EC7E9C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6CB2DC" w14:textId="7990783F" w:rsidR="00E568C2" w:rsidRPr="00EC7E9C" w:rsidRDefault="008270A1" w:rsidP="00EC7E9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Code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="00E568C2" w:rsidRPr="00E568C2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27A2C2A8" w14:textId="324CD048" w:rsidR="008270A1" w:rsidRPr="008270A1" w:rsidRDefault="008270A1" w:rsidP="00910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70A1" w14:paraId="107FDBC7" w14:textId="77777777" w:rsidTr="008270A1">
        <w:tc>
          <w:tcPr>
            <w:tcW w:w="1461" w:type="dxa"/>
          </w:tcPr>
          <w:p w14:paraId="58C5CDE3" w14:textId="77777777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points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21938BF2" w14:textId="37785714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14:paraId="1A247172" w14:textId="77777777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Hours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346C8FDE" w14:textId="21917146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759" w:type="dxa"/>
          </w:tcPr>
          <w:p w14:paraId="6FCAC566" w14:textId="77777777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43D80007" w14:textId="2CA9FDDB" w:rsidR="008270A1" w:rsidRPr="008270A1" w:rsidRDefault="002005E1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1706F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/2</w:t>
            </w:r>
            <w:r w:rsidR="001706F3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458" w:type="dxa"/>
          </w:tcPr>
          <w:p w14:paraId="33CD00CA" w14:textId="77777777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Semester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5085F837" w14:textId="2790BA55" w:rsidR="008270A1" w:rsidRPr="008270A1" w:rsidRDefault="001706F3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="002005E1">
              <w:rPr>
                <w:rFonts w:asciiTheme="majorHAnsi" w:hAnsiTheme="majorHAnsi" w:cstheme="majorHAnsi"/>
                <w:sz w:val="20"/>
                <w:szCs w:val="20"/>
              </w:rPr>
              <w:t>inter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summer</w:t>
            </w:r>
            <w:proofErr w:type="spellEnd"/>
          </w:p>
        </w:tc>
        <w:tc>
          <w:tcPr>
            <w:tcW w:w="1235" w:type="dxa"/>
            <w:gridSpan w:val="2"/>
          </w:tcPr>
          <w:p w14:paraId="0A8F138E" w14:textId="77777777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Status:</w:t>
            </w:r>
          </w:p>
          <w:p w14:paraId="3E90307F" w14:textId="60F74E9D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Elective</w:t>
            </w:r>
            <w:proofErr w:type="spellEnd"/>
          </w:p>
        </w:tc>
        <w:tc>
          <w:tcPr>
            <w:tcW w:w="1701" w:type="dxa"/>
          </w:tcPr>
          <w:p w14:paraId="174F41DE" w14:textId="0A8FCD0E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Language:</w:t>
            </w:r>
          </w:p>
          <w:p w14:paraId="49BA5AC4" w14:textId="34037B75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English</w:t>
            </w:r>
          </w:p>
          <w:p w14:paraId="3CA13BCC" w14:textId="7F706E95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70A1" w:rsidRPr="001706F3" w14:paraId="472D6E5D" w14:textId="77777777" w:rsidTr="008270A1">
        <w:tc>
          <w:tcPr>
            <w:tcW w:w="9072" w:type="dxa"/>
            <w:gridSpan w:val="7"/>
          </w:tcPr>
          <w:p w14:paraId="19BBB772" w14:textId="74E0BFE5" w:rsidR="008270A1" w:rsidRPr="00066657" w:rsidRDefault="008270A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Lecturer:</w:t>
            </w:r>
            <w:r w:rsidR="0006665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6665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66657" w:rsidRPr="0006665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Piotr Pisarewicz PhD</w:t>
            </w:r>
          </w:p>
          <w:p w14:paraId="58581BC0" w14:textId="6D2EBC1C" w:rsidR="008270A1" w:rsidRPr="00066657" w:rsidRDefault="008270A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6665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Email: </w:t>
            </w:r>
            <w:r w:rsidR="0006665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66657" w:rsidRPr="0006665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piotr.pisarewicz@ug.edu.pl</w:t>
            </w:r>
          </w:p>
        </w:tc>
      </w:tr>
      <w:tr w:rsidR="008270A1" w:rsidRPr="001706F3" w14:paraId="5268223A" w14:textId="77777777" w:rsidTr="008270A1">
        <w:tc>
          <w:tcPr>
            <w:tcW w:w="9072" w:type="dxa"/>
            <w:gridSpan w:val="7"/>
          </w:tcPr>
          <w:p w14:paraId="394324A0" w14:textId="6C59C142" w:rsidR="008270A1" w:rsidRPr="001C4FDE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1C4FD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Course description:</w:t>
            </w:r>
          </w:p>
          <w:p w14:paraId="331FCC75" w14:textId="3C24A54B" w:rsidR="00E568C2" w:rsidRDefault="00E568C2" w:rsidP="00EC7E9C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588A5A03" w14:textId="55D73321" w:rsidR="00066657" w:rsidRDefault="00066657" w:rsidP="00066657">
            <w:pPr>
              <w:pStyle w:val="Akapitzlist"/>
              <w:numPr>
                <w:ilvl w:val="0"/>
                <w:numId w:val="2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r>
              <w:rPr>
                <w:rFonts w:ascii="Arial" w:hAnsi="Arial" w:cs="Arial"/>
                <w:color w:val="003366"/>
                <w:lang w:val="en-US"/>
              </w:rPr>
              <w:t>U</w:t>
            </w:r>
            <w:r w:rsidRPr="004E69DB">
              <w:rPr>
                <w:rFonts w:ascii="Arial" w:hAnsi="Arial" w:cs="Arial"/>
                <w:color w:val="003366"/>
                <w:lang w:val="en-US"/>
              </w:rPr>
              <w:t>nemployment,</w:t>
            </w:r>
            <w:r>
              <w:rPr>
                <w:rFonts w:ascii="Arial" w:hAnsi="Arial" w:cs="Arial"/>
                <w:color w:val="003366"/>
                <w:lang w:val="en-US"/>
              </w:rPr>
              <w:t xml:space="preserve"> inflation, </w:t>
            </w:r>
            <w:r w:rsidRPr="004E69DB">
              <w:rPr>
                <w:rFonts w:ascii="Arial" w:hAnsi="Arial" w:cs="Arial"/>
                <w:color w:val="003366"/>
                <w:lang w:val="en-US"/>
              </w:rPr>
              <w:t xml:space="preserve">bankruptcies - </w:t>
            </w:r>
            <w:r>
              <w:rPr>
                <w:rFonts w:ascii="Arial" w:hAnsi="Arial" w:cs="Arial"/>
                <w:color w:val="003366"/>
                <w:lang w:val="en-US"/>
              </w:rPr>
              <w:t>t</w:t>
            </w:r>
            <w:r w:rsidRPr="00972A60">
              <w:rPr>
                <w:rFonts w:ascii="Arial" w:hAnsi="Arial" w:cs="Arial"/>
                <w:color w:val="003366"/>
                <w:lang w:val="en-US"/>
              </w:rPr>
              <w:t xml:space="preserve">he </w:t>
            </w:r>
            <w:r>
              <w:rPr>
                <w:rFonts w:ascii="Arial" w:hAnsi="Arial" w:cs="Arial"/>
                <w:color w:val="003366"/>
                <w:lang w:val="en-US"/>
              </w:rPr>
              <w:t xml:space="preserve">war and </w:t>
            </w:r>
            <w:r w:rsidRPr="00972A60">
              <w:rPr>
                <w:rFonts w:ascii="Arial" w:hAnsi="Arial" w:cs="Arial"/>
                <w:color w:val="003366"/>
                <w:lang w:val="en-US"/>
              </w:rPr>
              <w:t>pandemic impact on the economy, social, national and international relations</w:t>
            </w:r>
          </w:p>
          <w:p w14:paraId="4EAC0D04" w14:textId="705808FB" w:rsidR="00066657" w:rsidRPr="00972A60" w:rsidRDefault="00066657" w:rsidP="00066657">
            <w:pPr>
              <w:pStyle w:val="Akapitzlist"/>
              <w:numPr>
                <w:ilvl w:val="0"/>
                <w:numId w:val="2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r>
              <w:rPr>
                <w:rFonts w:ascii="Arial" w:hAnsi="Arial" w:cs="Arial"/>
                <w:color w:val="003366"/>
                <w:lang w:val="en-US"/>
              </w:rPr>
              <w:t>Wars and p</w:t>
            </w:r>
            <w:r w:rsidRPr="00972A60">
              <w:rPr>
                <w:rFonts w:ascii="Arial" w:hAnsi="Arial" w:cs="Arial"/>
                <w:color w:val="003366"/>
                <w:lang w:val="en-US"/>
              </w:rPr>
              <w:t xml:space="preserve">andemics over the centuries </w:t>
            </w:r>
          </w:p>
          <w:p w14:paraId="397C29D2" w14:textId="77777777" w:rsidR="00066657" w:rsidRPr="00B561EE" w:rsidRDefault="00066657" w:rsidP="00066657">
            <w:pPr>
              <w:pStyle w:val="Akapitzlist"/>
              <w:numPr>
                <w:ilvl w:val="0"/>
                <w:numId w:val="2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r w:rsidRPr="00B561EE">
              <w:rPr>
                <w:rFonts w:ascii="Arial" w:hAnsi="Arial" w:cs="Arial"/>
                <w:color w:val="003366"/>
                <w:lang w:val="en-US"/>
              </w:rPr>
              <w:t>Asset management and investment funds (fundamentals of a-m, types of funds, portfolio selection</w:t>
            </w:r>
            <w:r>
              <w:rPr>
                <w:rFonts w:ascii="Arial" w:hAnsi="Arial" w:cs="Arial"/>
                <w:color w:val="003366"/>
                <w:lang w:val="en-US"/>
              </w:rPr>
              <w:t>, international a-m market</w:t>
            </w:r>
            <w:r w:rsidRPr="00B561EE">
              <w:rPr>
                <w:rFonts w:ascii="Arial" w:hAnsi="Arial" w:cs="Arial"/>
                <w:color w:val="003366"/>
                <w:lang w:val="en-US"/>
              </w:rPr>
              <w:t>)</w:t>
            </w:r>
          </w:p>
          <w:p w14:paraId="6B5D2F2F" w14:textId="77777777" w:rsidR="00066657" w:rsidRPr="00B561EE" w:rsidRDefault="00066657" w:rsidP="00066657">
            <w:pPr>
              <w:pStyle w:val="Akapitzlist"/>
              <w:numPr>
                <w:ilvl w:val="0"/>
                <w:numId w:val="2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r w:rsidRPr="00B561EE">
              <w:rPr>
                <w:rFonts w:ascii="Arial" w:hAnsi="Arial" w:cs="Arial"/>
                <w:color w:val="003366"/>
                <w:lang w:val="en-US"/>
              </w:rPr>
              <w:t xml:space="preserve">Investment </w:t>
            </w:r>
            <w:r>
              <w:rPr>
                <w:rFonts w:ascii="Arial" w:hAnsi="Arial" w:cs="Arial"/>
                <w:color w:val="003366"/>
                <w:lang w:val="en-US"/>
              </w:rPr>
              <w:t xml:space="preserve">and corporate </w:t>
            </w:r>
            <w:r w:rsidRPr="00B561EE">
              <w:rPr>
                <w:rFonts w:ascii="Arial" w:hAnsi="Arial" w:cs="Arial"/>
                <w:color w:val="003366"/>
                <w:lang w:val="en-US"/>
              </w:rPr>
              <w:t xml:space="preserve">banking (fundamental elements of investment </w:t>
            </w:r>
            <w:r>
              <w:rPr>
                <w:rFonts w:ascii="Arial" w:hAnsi="Arial" w:cs="Arial"/>
                <w:color w:val="003366"/>
                <w:lang w:val="en-US"/>
              </w:rPr>
              <w:t xml:space="preserve">and corporate </w:t>
            </w:r>
            <w:r w:rsidRPr="00B561EE">
              <w:rPr>
                <w:rFonts w:ascii="Arial" w:hAnsi="Arial" w:cs="Arial"/>
                <w:color w:val="003366"/>
                <w:lang w:val="en-US"/>
              </w:rPr>
              <w:t xml:space="preserve">banking, </w:t>
            </w:r>
            <w:proofErr w:type="spellStart"/>
            <w:r w:rsidRPr="00B561EE">
              <w:rPr>
                <w:rFonts w:ascii="Arial" w:hAnsi="Arial" w:cs="Arial"/>
                <w:color w:val="003366"/>
                <w:lang w:val="en-US"/>
              </w:rPr>
              <w:t>underwritting</w:t>
            </w:r>
            <w:proofErr w:type="spellEnd"/>
            <w:r w:rsidRPr="00B561EE">
              <w:rPr>
                <w:rFonts w:ascii="Arial" w:hAnsi="Arial" w:cs="Arial"/>
                <w:color w:val="003366"/>
                <w:lang w:val="en-US"/>
              </w:rPr>
              <w:t>, M&amp;A transactions, role of global rating agencies, securitization</w:t>
            </w:r>
            <w:r>
              <w:rPr>
                <w:rFonts w:ascii="Arial" w:hAnsi="Arial" w:cs="Arial"/>
                <w:color w:val="003366"/>
                <w:lang w:val="en-US"/>
              </w:rPr>
              <w:t xml:space="preserve">, </w:t>
            </w:r>
            <w:r w:rsidRPr="00B561EE">
              <w:rPr>
                <w:rFonts w:ascii="Arial" w:hAnsi="Arial" w:cs="Arial"/>
                <w:color w:val="003366"/>
                <w:lang w:val="en-US"/>
              </w:rPr>
              <w:t xml:space="preserve">corporate loans, syndicated loan, cash pooling, corporate bonds, cash management, deposits, risk management) </w:t>
            </w:r>
          </w:p>
          <w:p w14:paraId="70E80C5E" w14:textId="77777777" w:rsidR="00066657" w:rsidRPr="00B561EE" w:rsidRDefault="00066657" w:rsidP="00066657">
            <w:pPr>
              <w:pStyle w:val="Akapitzlist"/>
              <w:numPr>
                <w:ilvl w:val="0"/>
                <w:numId w:val="2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r w:rsidRPr="00B561EE">
              <w:rPr>
                <w:rFonts w:ascii="Arial" w:hAnsi="Arial" w:cs="Arial"/>
                <w:color w:val="003366"/>
                <w:lang w:val="en-US"/>
              </w:rPr>
              <w:t>Retail banking (key elements of retail banking, global trends i</w:t>
            </w:r>
            <w:r>
              <w:rPr>
                <w:rFonts w:ascii="Arial" w:hAnsi="Arial" w:cs="Arial"/>
                <w:color w:val="003366"/>
                <w:lang w:val="en-US"/>
              </w:rPr>
              <w:t>n</w:t>
            </w:r>
            <w:r w:rsidRPr="00B561EE">
              <w:rPr>
                <w:rFonts w:ascii="Arial" w:hAnsi="Arial" w:cs="Arial"/>
                <w:color w:val="003366"/>
                <w:lang w:val="en-US"/>
              </w:rPr>
              <w:t xml:space="preserve"> retail banking, retail payment instruments (cash, cheques, debit card, credit card), loan market, mortgage credit, retail deposits, internet and mobile banking) </w:t>
            </w:r>
          </w:p>
          <w:p w14:paraId="112F5A60" w14:textId="77777777" w:rsidR="00066657" w:rsidRPr="00972A60" w:rsidRDefault="00066657" w:rsidP="00066657">
            <w:pPr>
              <w:pStyle w:val="Akapitzlist"/>
              <w:numPr>
                <w:ilvl w:val="0"/>
                <w:numId w:val="2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r>
              <w:rPr>
                <w:rFonts w:ascii="Arial" w:hAnsi="Arial" w:cs="Arial"/>
                <w:color w:val="003366"/>
                <w:lang w:val="en-US"/>
              </w:rPr>
              <w:t>L</w:t>
            </w:r>
            <w:r w:rsidRPr="00972A60">
              <w:rPr>
                <w:rFonts w:ascii="Arial" w:hAnsi="Arial" w:cs="Arial"/>
                <w:color w:val="003366"/>
                <w:lang w:val="en-US"/>
              </w:rPr>
              <w:t>ife insurance - categories of risks, structure and types of products, market practice</w:t>
            </w:r>
          </w:p>
          <w:p w14:paraId="60AAE1D3" w14:textId="77777777" w:rsidR="00066657" w:rsidRPr="00972A60" w:rsidRDefault="00066657" w:rsidP="00066657">
            <w:pPr>
              <w:pStyle w:val="Akapitzlist"/>
              <w:numPr>
                <w:ilvl w:val="0"/>
                <w:numId w:val="2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r>
              <w:rPr>
                <w:rFonts w:ascii="Arial" w:hAnsi="Arial" w:cs="Arial"/>
                <w:color w:val="003366"/>
                <w:lang w:val="en-US"/>
              </w:rPr>
              <w:t>N</w:t>
            </w:r>
            <w:r w:rsidRPr="00972A60">
              <w:rPr>
                <w:rFonts w:ascii="Arial" w:hAnsi="Arial" w:cs="Arial"/>
                <w:color w:val="003366"/>
                <w:lang w:val="en-US"/>
              </w:rPr>
              <w:t>on-life (</w:t>
            </w:r>
            <w:proofErr w:type="spellStart"/>
            <w:r w:rsidRPr="00972A60">
              <w:rPr>
                <w:rFonts w:ascii="Arial" w:hAnsi="Arial" w:cs="Arial"/>
                <w:color w:val="003366"/>
                <w:lang w:val="en-US"/>
              </w:rPr>
              <w:t>eg.</w:t>
            </w:r>
            <w:proofErr w:type="spellEnd"/>
            <w:r w:rsidRPr="00972A60">
              <w:rPr>
                <w:rFonts w:ascii="Arial" w:hAnsi="Arial" w:cs="Arial"/>
                <w:color w:val="003366"/>
                <w:lang w:val="en-US"/>
              </w:rPr>
              <w:t xml:space="preserve"> property, third-party, </w:t>
            </w:r>
            <w:r>
              <w:rPr>
                <w:rFonts w:ascii="Arial" w:hAnsi="Arial" w:cs="Arial"/>
                <w:color w:val="003366"/>
                <w:lang w:val="en-US"/>
              </w:rPr>
              <w:t xml:space="preserve">cargo, </w:t>
            </w:r>
            <w:r w:rsidRPr="00972A60">
              <w:rPr>
                <w:rFonts w:ascii="Arial" w:hAnsi="Arial" w:cs="Arial"/>
                <w:color w:val="003366"/>
                <w:lang w:val="en-US"/>
              </w:rPr>
              <w:t>financial, and other</w:t>
            </w:r>
            <w:r>
              <w:rPr>
                <w:rFonts w:ascii="Arial" w:hAnsi="Arial" w:cs="Arial"/>
                <w:color w:val="003366"/>
                <w:lang w:val="en-US"/>
              </w:rPr>
              <w:t xml:space="preserve"> types of insurance</w:t>
            </w:r>
            <w:r w:rsidRPr="00972A60">
              <w:rPr>
                <w:rFonts w:ascii="Arial" w:hAnsi="Arial" w:cs="Arial"/>
                <w:color w:val="003366"/>
                <w:lang w:val="en-US"/>
              </w:rPr>
              <w:t>) - categories of risks, structure and types of products, market practice</w:t>
            </w:r>
          </w:p>
          <w:p w14:paraId="16A64A66" w14:textId="6C21CE87" w:rsidR="00066657" w:rsidRPr="00B561EE" w:rsidRDefault="00066657" w:rsidP="00066657">
            <w:pPr>
              <w:pStyle w:val="Akapitzlist"/>
              <w:numPr>
                <w:ilvl w:val="0"/>
                <w:numId w:val="2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r w:rsidRPr="00B561EE">
              <w:rPr>
                <w:rFonts w:ascii="Arial" w:hAnsi="Arial" w:cs="Arial"/>
                <w:color w:val="003366"/>
                <w:lang w:val="en-US"/>
              </w:rPr>
              <w:t>Cyber-risk and other and threats of the international financial market during</w:t>
            </w:r>
            <w:r>
              <w:rPr>
                <w:rFonts w:ascii="Arial" w:hAnsi="Arial" w:cs="Arial"/>
                <w:color w:val="003366"/>
                <w:lang w:val="en-US"/>
              </w:rPr>
              <w:t xml:space="preserve"> wars and</w:t>
            </w:r>
            <w:r w:rsidRPr="00B561EE">
              <w:rPr>
                <w:rFonts w:ascii="Arial" w:hAnsi="Arial" w:cs="Arial"/>
                <w:color w:val="003366"/>
                <w:lang w:val="en-US"/>
              </w:rPr>
              <w:t xml:space="preserve"> pandemics  </w:t>
            </w:r>
          </w:p>
          <w:p w14:paraId="055AD32A" w14:textId="77777777" w:rsidR="002005E1" w:rsidRDefault="002005E1" w:rsidP="00EC7E9C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4E98AE6B" w14:textId="0CDFEB84" w:rsidR="002005E1" w:rsidRPr="001C4FDE" w:rsidRDefault="002005E1" w:rsidP="00EC7E9C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8270A1" w:rsidRPr="001706F3" w14:paraId="79E12791" w14:textId="77777777" w:rsidTr="008270A1">
        <w:tc>
          <w:tcPr>
            <w:tcW w:w="9072" w:type="dxa"/>
            <w:gridSpan w:val="7"/>
          </w:tcPr>
          <w:p w14:paraId="04E7C918" w14:textId="22299441" w:rsidR="00D47894" w:rsidRDefault="00D47894" w:rsidP="00D4789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Reading list:</w:t>
            </w:r>
          </w:p>
          <w:p w14:paraId="72D123D8" w14:textId="77777777" w:rsidR="008270A1" w:rsidRDefault="008270A1" w:rsidP="002005E1">
            <w:pPr>
              <w:pStyle w:val="Bezodstpw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 w14:paraId="54F3C681" w14:textId="77777777" w:rsidR="00066657" w:rsidRPr="00B561EE" w:rsidRDefault="00066657" w:rsidP="00066657">
            <w:pPr>
              <w:pStyle w:val="Akapitzlist"/>
              <w:numPr>
                <w:ilvl w:val="0"/>
                <w:numId w:val="3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r w:rsidRPr="00B561EE">
              <w:rPr>
                <w:rFonts w:ascii="Arial" w:hAnsi="Arial" w:cs="Arial"/>
                <w:color w:val="003366"/>
                <w:lang w:val="en-US"/>
              </w:rPr>
              <w:t>Choudhry M., Landuyt G.,  The future of Finance - a New Model for Banking and Investment, John Wiley &amp; Sons, Inc., 2010</w:t>
            </w:r>
          </w:p>
          <w:p w14:paraId="27131D3B" w14:textId="77777777" w:rsidR="00066657" w:rsidRPr="00361E7A" w:rsidRDefault="00066657" w:rsidP="00066657">
            <w:pPr>
              <w:pStyle w:val="Akapitzlist"/>
              <w:numPr>
                <w:ilvl w:val="0"/>
                <w:numId w:val="3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r w:rsidRPr="00361E7A">
              <w:rPr>
                <w:rFonts w:ascii="Arial" w:hAnsi="Arial" w:cs="Arial"/>
                <w:color w:val="003366"/>
                <w:lang w:val="en-US"/>
              </w:rPr>
              <w:t>Fink M.P.,  The Rise of Mutual Funds, An Insider’s View</w:t>
            </w:r>
            <w:r>
              <w:rPr>
                <w:rFonts w:ascii="Arial" w:hAnsi="Arial" w:cs="Arial"/>
                <w:color w:val="003366"/>
                <w:lang w:val="en-US"/>
              </w:rPr>
              <w:t xml:space="preserve">, </w:t>
            </w:r>
            <w:r w:rsidRPr="00361E7A">
              <w:rPr>
                <w:rFonts w:ascii="Arial" w:hAnsi="Arial" w:cs="Arial"/>
                <w:color w:val="003366"/>
                <w:lang w:val="en-US"/>
              </w:rPr>
              <w:t>Oxford University Press</w:t>
            </w:r>
            <w:r>
              <w:rPr>
                <w:rFonts w:ascii="Arial" w:hAnsi="Arial" w:cs="Arial"/>
                <w:color w:val="003366"/>
                <w:lang w:val="en-US"/>
              </w:rPr>
              <w:t>,</w:t>
            </w:r>
            <w:r w:rsidRPr="00361E7A">
              <w:rPr>
                <w:rFonts w:ascii="Arial" w:hAnsi="Arial" w:cs="Arial"/>
                <w:color w:val="003366"/>
                <w:lang w:val="en-US"/>
              </w:rPr>
              <w:t xml:space="preserve"> 2011</w:t>
            </w:r>
          </w:p>
          <w:p w14:paraId="23551629" w14:textId="77777777" w:rsidR="00066657" w:rsidRPr="00B561EE" w:rsidRDefault="00066657" w:rsidP="00066657">
            <w:pPr>
              <w:pStyle w:val="Akapitzlist"/>
              <w:numPr>
                <w:ilvl w:val="0"/>
                <w:numId w:val="3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proofErr w:type="spellStart"/>
            <w:r w:rsidRPr="00B561EE">
              <w:rPr>
                <w:rFonts w:ascii="Arial" w:hAnsi="Arial" w:cs="Arial"/>
                <w:color w:val="003366"/>
                <w:lang w:val="en-US"/>
              </w:rPr>
              <w:t>Fabozzi</w:t>
            </w:r>
            <w:proofErr w:type="spellEnd"/>
            <w:r w:rsidRPr="00B561EE">
              <w:rPr>
                <w:rFonts w:ascii="Arial" w:hAnsi="Arial" w:cs="Arial"/>
                <w:color w:val="003366"/>
                <w:lang w:val="en-US"/>
              </w:rPr>
              <w:t>, F.J., Bond Markets, Analysis, and Strategies (9th Edition), Prentice Hall 2015</w:t>
            </w:r>
          </w:p>
          <w:p w14:paraId="123FDF71" w14:textId="77777777" w:rsidR="00066657" w:rsidRDefault="00066657" w:rsidP="00066657">
            <w:pPr>
              <w:pStyle w:val="Akapitzlist"/>
              <w:numPr>
                <w:ilvl w:val="0"/>
                <w:numId w:val="3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proofErr w:type="spellStart"/>
            <w:r w:rsidRPr="00B561EE">
              <w:rPr>
                <w:rFonts w:ascii="Arial" w:hAnsi="Arial" w:cs="Arial"/>
                <w:color w:val="003366"/>
                <w:lang w:val="en-US"/>
              </w:rPr>
              <w:t>Fabozzi</w:t>
            </w:r>
            <w:proofErr w:type="spellEnd"/>
            <w:r w:rsidRPr="00B561EE">
              <w:rPr>
                <w:rFonts w:ascii="Arial" w:hAnsi="Arial" w:cs="Arial"/>
                <w:color w:val="003366"/>
                <w:lang w:val="en-US"/>
              </w:rPr>
              <w:t>, F.J, The Handbook of fixed income securities, Prentice Hall 2005.</w:t>
            </w:r>
          </w:p>
          <w:p w14:paraId="376B9C89" w14:textId="77777777" w:rsidR="00066657" w:rsidRPr="00972A60" w:rsidRDefault="00066657" w:rsidP="00066657">
            <w:pPr>
              <w:pStyle w:val="Akapitzlist"/>
              <w:numPr>
                <w:ilvl w:val="0"/>
                <w:numId w:val="3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r w:rsidRPr="00972A60">
              <w:rPr>
                <w:rFonts w:ascii="Arial" w:hAnsi="Arial" w:cs="Arial"/>
                <w:color w:val="003366"/>
                <w:lang w:val="en-US"/>
              </w:rPr>
              <w:t>Insurance Laws And Practices, Neelam Gulati N., Lovely Professional University, Excel Books Private Limited, 2014</w:t>
            </w:r>
          </w:p>
          <w:p w14:paraId="36610D3C" w14:textId="77777777" w:rsidR="00066657" w:rsidRPr="00972A60" w:rsidRDefault="00066657" w:rsidP="00066657">
            <w:pPr>
              <w:pStyle w:val="Akapitzlist"/>
              <w:numPr>
                <w:ilvl w:val="0"/>
                <w:numId w:val="3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r w:rsidRPr="00972A60">
              <w:rPr>
                <w:rFonts w:ascii="Arial" w:hAnsi="Arial" w:cs="Arial"/>
                <w:color w:val="003366"/>
                <w:lang w:val="en-US"/>
              </w:rPr>
              <w:t>Insurance Handbook - A guide to insurance: what it does and how it works, Insurance Information Institute, 2010</w:t>
            </w:r>
          </w:p>
          <w:p w14:paraId="44458BFE" w14:textId="77777777" w:rsidR="00066657" w:rsidRPr="00972A60" w:rsidRDefault="00066657" w:rsidP="00066657">
            <w:pPr>
              <w:pStyle w:val="Akapitzlist"/>
              <w:numPr>
                <w:ilvl w:val="0"/>
                <w:numId w:val="3"/>
              </w:numPr>
              <w:ind w:right="399"/>
              <w:jc w:val="both"/>
              <w:rPr>
                <w:rFonts w:ascii="Arial" w:hAnsi="Arial" w:cs="Arial"/>
                <w:color w:val="003366"/>
                <w:lang w:val="en-US"/>
              </w:rPr>
            </w:pPr>
            <w:r w:rsidRPr="00972A60">
              <w:rPr>
                <w:rFonts w:ascii="Arial" w:hAnsi="Arial" w:cs="Arial"/>
                <w:color w:val="003366"/>
                <w:lang w:val="en-US"/>
              </w:rPr>
              <w:t>Insurance Study Material - Student Handbook, BSE Institute Ltd., 2015</w:t>
            </w:r>
          </w:p>
          <w:p w14:paraId="508AB9BA" w14:textId="77777777" w:rsidR="002005E1" w:rsidRDefault="002005E1" w:rsidP="002005E1">
            <w:pPr>
              <w:pStyle w:val="Bezodstpw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 w14:paraId="39EAA5A3" w14:textId="21ABA2A1" w:rsidR="002005E1" w:rsidRPr="00D47894" w:rsidRDefault="002005E1" w:rsidP="002005E1">
            <w:pPr>
              <w:pStyle w:val="Bezodstpw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8270A1" w14:paraId="2E0A0349" w14:textId="77777777" w:rsidTr="008270A1">
        <w:tc>
          <w:tcPr>
            <w:tcW w:w="9072" w:type="dxa"/>
            <w:gridSpan w:val="7"/>
          </w:tcPr>
          <w:p w14:paraId="3005CE1B" w14:textId="7455D4F4" w:rsidR="008270A1" w:rsidRPr="00621A50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621A5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Grading:</w:t>
            </w:r>
          </w:p>
          <w:p w14:paraId="09936683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lastRenderedPageBreak/>
              <w:t>The final grades are based on the score according the University terms of study:</w:t>
            </w:r>
          </w:p>
          <w:p w14:paraId="76D076C5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50% or less - 2,0 (fail)</w:t>
            </w:r>
          </w:p>
          <w:p w14:paraId="366952D6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&gt;50% - 3,0 (pass)</w:t>
            </w:r>
          </w:p>
          <w:p w14:paraId="019BAB8C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&gt;60% - 3,5 (pass +)</w:t>
            </w:r>
          </w:p>
          <w:p w14:paraId="4C10B821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&gt;70% - 4,0 (</w:t>
            </w: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  <w:proofErr w:type="spellEnd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3874B284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&gt;80% - 4,5 (</w:t>
            </w: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  <w:proofErr w:type="spellEnd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+)</w:t>
            </w:r>
          </w:p>
          <w:p w14:paraId="1F0F6E5F" w14:textId="5C613AA0" w:rsidR="008270A1" w:rsidRPr="008270A1" w:rsidRDefault="008270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&gt;90% - 5,0 (</w:t>
            </w: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very</w:t>
            </w:r>
            <w:proofErr w:type="spellEnd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  <w:proofErr w:type="spellEnd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270A1" w:rsidRPr="001706F3" w14:paraId="60CC417B" w14:textId="77777777" w:rsidTr="008270A1">
        <w:tc>
          <w:tcPr>
            <w:tcW w:w="9072" w:type="dxa"/>
            <w:gridSpan w:val="7"/>
          </w:tcPr>
          <w:p w14:paraId="64EFC683" w14:textId="77777777" w:rsidR="008270A1" w:rsidRPr="00E568C2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568C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lastRenderedPageBreak/>
              <w:t>Prerequisities</w:t>
            </w:r>
            <w:proofErr w:type="spellEnd"/>
            <w:r w:rsidRPr="00E568C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</w:p>
          <w:p w14:paraId="7A74757D" w14:textId="76B0BFE7" w:rsidR="008270A1" w:rsidRPr="008270A1" w:rsidRDefault="008270A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There are no pre-requisites for this course</w:t>
            </w:r>
          </w:p>
        </w:tc>
      </w:tr>
    </w:tbl>
    <w:p w14:paraId="50CE84B2" w14:textId="77777777" w:rsidR="004E4D34" w:rsidRPr="008270A1" w:rsidRDefault="004E4D34" w:rsidP="00F15C65">
      <w:pPr>
        <w:rPr>
          <w:lang w:val="en-GB"/>
        </w:rPr>
      </w:pPr>
    </w:p>
    <w:sectPr w:rsidR="004E4D34" w:rsidRPr="0082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11D4"/>
    <w:multiLevelType w:val="hybridMultilevel"/>
    <w:tmpl w:val="BFE8B078"/>
    <w:lvl w:ilvl="0" w:tplc="FF225F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276"/>
    <w:multiLevelType w:val="hybridMultilevel"/>
    <w:tmpl w:val="70A036C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77F0128B"/>
    <w:multiLevelType w:val="hybridMultilevel"/>
    <w:tmpl w:val="1870D08A"/>
    <w:lvl w:ilvl="0" w:tplc="3CE6D132">
      <w:start w:val="1"/>
      <w:numFmt w:val="decimal"/>
      <w:lvlText w:val="%1."/>
      <w:lvlJc w:val="left"/>
      <w:pPr>
        <w:ind w:left="1187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num w:numId="1" w16cid:durableId="824467941">
    <w:abstractNumId w:val="0"/>
  </w:num>
  <w:num w:numId="2" w16cid:durableId="2110423035">
    <w:abstractNumId w:val="1"/>
  </w:num>
  <w:num w:numId="3" w16cid:durableId="366955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A1"/>
    <w:rsid w:val="00066657"/>
    <w:rsid w:val="001706F3"/>
    <w:rsid w:val="001757BD"/>
    <w:rsid w:val="001C4FDE"/>
    <w:rsid w:val="002005E1"/>
    <w:rsid w:val="004117AF"/>
    <w:rsid w:val="00436379"/>
    <w:rsid w:val="004E4D34"/>
    <w:rsid w:val="004F6202"/>
    <w:rsid w:val="00621A50"/>
    <w:rsid w:val="00681A64"/>
    <w:rsid w:val="006E10C8"/>
    <w:rsid w:val="00772887"/>
    <w:rsid w:val="008270A1"/>
    <w:rsid w:val="00870583"/>
    <w:rsid w:val="008C7C44"/>
    <w:rsid w:val="00910EEA"/>
    <w:rsid w:val="009F536F"/>
    <w:rsid w:val="00A7117F"/>
    <w:rsid w:val="00AB6D8C"/>
    <w:rsid w:val="00B12718"/>
    <w:rsid w:val="00B70261"/>
    <w:rsid w:val="00B900FF"/>
    <w:rsid w:val="00C14EFA"/>
    <w:rsid w:val="00D120EF"/>
    <w:rsid w:val="00D47894"/>
    <w:rsid w:val="00DD344D"/>
    <w:rsid w:val="00E568C2"/>
    <w:rsid w:val="00EC7E9C"/>
    <w:rsid w:val="00F15C65"/>
    <w:rsid w:val="00F6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C64D"/>
  <w15:chartTrackingRefBased/>
  <w15:docId w15:val="{938537E3-BA85-4E7E-8D8A-4304FD04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14E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4E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4789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568C2"/>
  </w:style>
  <w:style w:type="paragraph" w:styleId="NormalnyWeb">
    <w:name w:val="Normal (Web)"/>
    <w:basedOn w:val="Normalny"/>
    <w:uiPriority w:val="99"/>
    <w:unhideWhenUsed/>
    <w:rsid w:val="00E5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68C2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D3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Kędzierska-Szczepaniak</dc:creator>
  <cp:keywords/>
  <dc:description/>
  <cp:lastModifiedBy>Krzysztof Kowalczyk</cp:lastModifiedBy>
  <cp:revision>2</cp:revision>
  <cp:lastPrinted>2021-05-21T10:38:00Z</cp:lastPrinted>
  <dcterms:created xsi:type="dcterms:W3CDTF">2023-09-22T06:44:00Z</dcterms:created>
  <dcterms:modified xsi:type="dcterms:W3CDTF">2023-09-22T06:44:00Z</dcterms:modified>
</cp:coreProperties>
</file>